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before="312" w:after="312"/>
      </w:pPr>
      <w:r>
        <w:rPr>
          <w:rFonts w:hint="eastAsia"/>
        </w:rPr>
        <w:t>贵港市本级预算2022年绩效目标申报文字说明</w:t>
      </w:r>
    </w:p>
    <w:p>
      <w:pPr>
        <w:spacing w:afterLines="50"/>
        <w:rPr>
          <w:u w:val="single"/>
        </w:rPr>
      </w:pPr>
      <w:r>
        <w:rPr>
          <w:rFonts w:hint="eastAsia" w:ascii="黑体" w:eastAsia="黑体"/>
        </w:rPr>
        <w:t>项目名称</w:t>
      </w:r>
      <w:r>
        <w:rPr>
          <w:rFonts w:hint="eastAsia"/>
        </w:rPr>
        <w:t>：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 w:ascii="黑体" w:hAnsi="黑体" w:eastAsia="黑体"/>
          <w:b/>
          <w:u w:val="single"/>
        </w:rPr>
        <w:t>专项执法经费</w:t>
      </w:r>
      <w:r>
        <w:rPr>
          <w:rFonts w:hint="eastAsia" w:ascii="黑体" w:hAnsi="黑体" w:eastAsia="黑体"/>
          <w:b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>
      <w:pPr>
        <w:spacing w:afterLines="50"/>
        <w:rPr>
          <w:rFonts w:ascii="黑体" w:eastAsia="黑体"/>
        </w:rPr>
      </w:pPr>
      <w:r>
        <w:rPr>
          <w:rFonts w:hint="eastAsia" w:ascii="黑体" w:eastAsia="黑体"/>
        </w:rPr>
        <w:t>项目实施单位：</w:t>
      </w:r>
      <w:r>
        <w:rPr>
          <w:rFonts w:hint="eastAsia" w:ascii="黑体" w:eastAsia="黑体"/>
          <w:u w:val="single"/>
        </w:rPr>
        <w:t xml:space="preserve">    </w:t>
      </w:r>
      <w:r>
        <w:rPr>
          <w:rFonts w:hint="eastAsia" w:ascii="黑体" w:eastAsia="黑体"/>
          <w:b/>
          <w:u w:val="single"/>
        </w:rPr>
        <w:t xml:space="preserve">贵港市劳动保障监察支队   </w:t>
      </w:r>
      <w:r>
        <w:rPr>
          <w:rFonts w:hint="eastAsia" w:ascii="黑体" w:eastAsia="黑体"/>
          <w:u w:val="single"/>
        </w:rPr>
        <w:t xml:space="preserve">     </w:t>
      </w:r>
    </w:p>
    <w:p>
      <w:pPr>
        <w:pStyle w:val="15"/>
      </w:pPr>
      <w:r>
        <w:rPr>
          <w:rFonts w:hint="eastAsia"/>
        </w:rPr>
        <w:t>一、项目概况。</w:t>
      </w:r>
    </w:p>
    <w:p>
      <w:pPr>
        <w:pStyle w:val="15"/>
        <w:ind w:firstLine="560"/>
        <w:rPr>
          <w:b w:val="0"/>
        </w:rPr>
      </w:pPr>
      <w:r>
        <w:rPr>
          <w:rFonts w:hint="eastAsia" w:ascii="仿宋" w:hAnsi="仿宋" w:eastAsia="仿宋" w:cs="仿宋"/>
          <w:b w:val="0"/>
        </w:rPr>
        <w:t>宣传劳动保障法律、法规和规章并督促用人单位贯彻执行,检查用人单位遵守劳动保障法律、法规和规章的情况,受理对违反劳动保障法律、法规或者规章行为的投诉、举报,依法纠正和查处违反劳动保障法律、法规或者规章的行为，依法处理群体性讨薪突发事件。对下列事项实行劳动保障监察：用人单位制定内部劳动保障规章制度的情况；用人单位与劳动者订立劳动合同的情况；用人单位遵守禁止使用童工规定的情况；用人单位遵守女职工和未成年工特殊劳动保护规定的情况；用人单位遵守工作时间和休息休假规定的情况；用人单位支付劳动者工资和执行最低工资标准的情况；用人单位参加各项社会保险和缴纳社会保险费的情况；职业介绍机构、职业技能培训机构和职业技能考核鉴定机构遵守国家有关职业介绍、职业技能培训和职业技能考核鉴定的规定的情况；法律、法规规定的其他劳动保障监察事项。通过实施劳动监察，促进用人单位规范用工，维护劳动者合法权益，促进社会和谐稳定。</w:t>
      </w:r>
    </w:p>
    <w:p>
      <w:pPr>
        <w:pStyle w:val="15"/>
      </w:pPr>
      <w:r>
        <w:rPr>
          <w:rFonts w:hint="eastAsia"/>
        </w:rPr>
        <w:t>二、立项依据。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《劳动保障监察条例》（国务院令第423号）、《关于实施&lt;劳动保障监察条例&gt;若干规定》（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instrText xml:space="preserve"> HYPERLINK "https://baike.so.com/doc/4647105-4860249.html" \t "_blank" </w:instrTex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中华人民共和国劳动和社会保障部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令第 25 号）。</w:t>
      </w:r>
    </w:p>
    <w:p>
      <w:pPr>
        <w:pStyle w:val="15"/>
      </w:pPr>
      <w:r>
        <w:rPr>
          <w:rFonts w:hint="eastAsia"/>
        </w:rPr>
        <w:t>三、项目资金用途。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本项目设置资金8.8万元，用于开展劳动保障监察日常巡查、受理投诉举报、开展专项执法行动的工作经费。其中：办公费2.8万元，差旅费2万，宣传印刷费1万元，执法车辆租赁费2.1万元，电费0.3万元、邮电费0.6万元。</w:t>
      </w:r>
    </w:p>
    <w:p>
      <w:pPr>
        <w:pStyle w:val="15"/>
      </w:pPr>
      <w:r>
        <w:rPr>
          <w:rFonts w:hint="eastAsia"/>
        </w:rPr>
        <w:t>四、项目管理办法和绩效指标要求。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依据《劳动保障监察条例》（国务院令第423号）、《关于实施&lt;劳动保障监察条例&gt;若干规定》（</w:t>
      </w:r>
      <w:r>
        <w:rPr>
          <w:rFonts w:hint="eastAsia" w:ascii="仿宋" w:hAnsi="仿宋" w:eastAsia="仿宋" w:cs="仿宋"/>
          <w:b w:val="0"/>
        </w:rPr>
        <w:fldChar w:fldCharType="begin"/>
      </w:r>
      <w:r>
        <w:rPr>
          <w:rFonts w:hint="eastAsia" w:ascii="仿宋" w:hAnsi="仿宋" w:eastAsia="仿宋" w:cs="仿宋"/>
          <w:b w:val="0"/>
        </w:rPr>
        <w:instrText xml:space="preserve"> HYPERLINK "https://baike.so.com/doc/4647105-4860249.html" \t "_blank" </w:instrText>
      </w:r>
      <w:r>
        <w:rPr>
          <w:rFonts w:hint="eastAsia" w:ascii="仿宋" w:hAnsi="仿宋" w:eastAsia="仿宋" w:cs="仿宋"/>
          <w:b w:val="0"/>
        </w:rPr>
        <w:fldChar w:fldCharType="separate"/>
      </w:r>
      <w:r>
        <w:rPr>
          <w:rFonts w:hint="eastAsia" w:ascii="仿宋" w:hAnsi="仿宋" w:eastAsia="仿宋" w:cs="仿宋"/>
          <w:b w:val="0"/>
        </w:rPr>
        <w:t>中华人民共和国劳动和社会保障部</w:t>
      </w:r>
      <w:r>
        <w:rPr>
          <w:rFonts w:hint="eastAsia" w:ascii="仿宋" w:hAnsi="仿宋" w:eastAsia="仿宋" w:cs="仿宋"/>
          <w:b w:val="0"/>
        </w:rPr>
        <w:fldChar w:fldCharType="end"/>
      </w:r>
      <w:r>
        <w:rPr>
          <w:rFonts w:hint="eastAsia" w:ascii="仿宋" w:hAnsi="仿宋" w:eastAsia="仿宋" w:cs="仿宋"/>
          <w:b w:val="0"/>
        </w:rPr>
        <w:t>令第 25 号）开展劳动保障监察执法工作，维护劳动者合法权益，促进劳动关系和谐发展，社会稳定。在开展工作使用经费过程中，严格按财经有关法律法规开支，切实加强财政资金的监督管理，严格按照预算内容和经费使用范围，自觉接受监督检查，确保经费及时到位和专款专用。</w:t>
      </w:r>
    </w:p>
    <w:p>
      <w:pPr>
        <w:pStyle w:val="15"/>
      </w:pPr>
      <w:r>
        <w:rPr>
          <w:rFonts w:hint="eastAsia"/>
        </w:rPr>
        <w:t>五、项目预算单位开展的工作。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（一）受理劳动保障监察举报投诉。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（二）开展日常劳动保障监察巡视巡查400户。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（三）查处违反劳动保障法律法规行为。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（四）开展各项专项执法行动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1.开展清理整顿人力资源市场专项行动；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2.审查用人单位劳动用工网上报送材料（或纸质材料）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3.开展打击非法用工专项行动；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4.开展规范劳务派遣企业用工行为专项检查；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5.开展用人单位遵守劳动用工和社会保险法律法规情况专项检查等。</w:t>
      </w:r>
    </w:p>
    <w:p>
      <w:pPr>
        <w:pStyle w:val="15"/>
        <w:ind w:firstLine="361"/>
        <w:rPr>
          <w:rFonts w:ascii="Arial" w:hAnsi="Arial" w:cs="Arial"/>
          <w:sz w:val="18"/>
          <w:szCs w:val="18"/>
          <w:shd w:val="clear" w:color="auto" w:fill="FFFFFF"/>
        </w:rPr>
      </w:pPr>
    </w:p>
    <w:p>
      <w:pPr>
        <w:pStyle w:val="15"/>
      </w:pPr>
      <w:r>
        <w:rPr>
          <w:rFonts w:hint="eastAsia"/>
        </w:rPr>
        <w:t>六、2021年度项目要实现的主要工作成果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劳动保障监察日常巡查用人单位400户，开展各项专项执法行动6次，劳动保障监察案件结案率96%以上，涉及拖欠农民工工资案件结案率98%以上。</w:t>
      </w:r>
    </w:p>
    <w:p>
      <w:pPr>
        <w:pStyle w:val="15"/>
      </w:pPr>
      <w:r>
        <w:rPr>
          <w:rFonts w:hint="eastAsia"/>
        </w:rPr>
        <w:t>七、项目工作完成后将产生的效益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  <w:t>通过劳动保障监察日常巡查和专项执法检查，促进用人单位遵守劳动保障法律法规、维护劳动者合法权益、构建和谐劳动关系，促进社会稳定。</w:t>
      </w:r>
    </w:p>
    <w:p>
      <w:pPr>
        <w:spacing w:line="680" w:lineRule="exact"/>
        <w:ind w:firstLine="560" w:firstLineChars="200"/>
        <w:rPr>
          <w:rFonts w:hint="eastAsia" w:ascii="仿宋" w:hAnsi="仿宋" w:eastAsia="仿宋" w:cs="仿宋"/>
          <w:b w:val="0"/>
          <w:bCs/>
          <w:kern w:val="2"/>
          <w:sz w:val="28"/>
          <w:szCs w:val="20"/>
          <w:lang w:val="en-US" w:eastAsia="zh-CN" w:bidi="ar-SA"/>
        </w:rPr>
      </w:pPr>
    </w:p>
    <w:bookmarkEnd w:id="0"/>
    <w:p>
      <w:pPr>
        <w:ind w:firstLine="560" w:firstLineChars="200"/>
        <w:rPr>
          <w:rFonts w:ascii="楷体_GB2312" w:eastAsia="楷体_GB2312"/>
        </w:rPr>
      </w:pPr>
    </w:p>
    <w:p>
      <w:pPr>
        <w:ind w:firstLine="3920" w:firstLineChars="14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贵港市劳动保障监察支队</w:t>
      </w:r>
    </w:p>
    <w:p>
      <w:pPr>
        <w:ind w:firstLine="4480" w:firstLineChars="16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2022年02月21日</w:t>
      </w:r>
    </w:p>
    <w:p>
      <w:pPr>
        <w:ind w:firstLine="56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644" w:right="1361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3</w:t>
    </w:r>
    <w:r>
      <w:rPr>
        <w:rStyle w:val="10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7EF5"/>
    <w:rsid w:val="00074760"/>
    <w:rsid w:val="000C0B4B"/>
    <w:rsid w:val="000E0DC4"/>
    <w:rsid w:val="001113AF"/>
    <w:rsid w:val="0012397D"/>
    <w:rsid w:val="001D76B3"/>
    <w:rsid w:val="002E1272"/>
    <w:rsid w:val="003024FE"/>
    <w:rsid w:val="00316CA1"/>
    <w:rsid w:val="004062D3"/>
    <w:rsid w:val="0042151B"/>
    <w:rsid w:val="004441EF"/>
    <w:rsid w:val="004766C6"/>
    <w:rsid w:val="00491300"/>
    <w:rsid w:val="004B218A"/>
    <w:rsid w:val="004F27E8"/>
    <w:rsid w:val="005324C8"/>
    <w:rsid w:val="00594261"/>
    <w:rsid w:val="005961D6"/>
    <w:rsid w:val="005E2CE2"/>
    <w:rsid w:val="006301D4"/>
    <w:rsid w:val="006928BE"/>
    <w:rsid w:val="006C060F"/>
    <w:rsid w:val="006D7B12"/>
    <w:rsid w:val="006E332E"/>
    <w:rsid w:val="00767EF5"/>
    <w:rsid w:val="007B4146"/>
    <w:rsid w:val="007B4EB1"/>
    <w:rsid w:val="007E3D83"/>
    <w:rsid w:val="007E4C97"/>
    <w:rsid w:val="008249CA"/>
    <w:rsid w:val="00840AC5"/>
    <w:rsid w:val="008B2B70"/>
    <w:rsid w:val="008B5119"/>
    <w:rsid w:val="00960E83"/>
    <w:rsid w:val="009637FC"/>
    <w:rsid w:val="00974685"/>
    <w:rsid w:val="009853AA"/>
    <w:rsid w:val="009868C7"/>
    <w:rsid w:val="00991406"/>
    <w:rsid w:val="009B742E"/>
    <w:rsid w:val="009C24EA"/>
    <w:rsid w:val="009C49F3"/>
    <w:rsid w:val="009C561F"/>
    <w:rsid w:val="00A048A9"/>
    <w:rsid w:val="00A76C17"/>
    <w:rsid w:val="00B21206"/>
    <w:rsid w:val="00B3406D"/>
    <w:rsid w:val="00B37DCB"/>
    <w:rsid w:val="00B40F71"/>
    <w:rsid w:val="00B961E6"/>
    <w:rsid w:val="00BB5F35"/>
    <w:rsid w:val="00BE2A53"/>
    <w:rsid w:val="00C255F1"/>
    <w:rsid w:val="00C371CA"/>
    <w:rsid w:val="00C92782"/>
    <w:rsid w:val="00CB0AAC"/>
    <w:rsid w:val="00CB4582"/>
    <w:rsid w:val="00CC4914"/>
    <w:rsid w:val="00CC6543"/>
    <w:rsid w:val="00D73975"/>
    <w:rsid w:val="00D927A4"/>
    <w:rsid w:val="00DA0B52"/>
    <w:rsid w:val="00DF4D21"/>
    <w:rsid w:val="00E00C0F"/>
    <w:rsid w:val="00E14BE5"/>
    <w:rsid w:val="00EB09A7"/>
    <w:rsid w:val="00EC6DEA"/>
    <w:rsid w:val="00EC76A0"/>
    <w:rsid w:val="00ED1A2F"/>
    <w:rsid w:val="00ED3745"/>
    <w:rsid w:val="00EF7419"/>
    <w:rsid w:val="00F31F04"/>
    <w:rsid w:val="00F53ED4"/>
    <w:rsid w:val="00F67D9C"/>
    <w:rsid w:val="00F73DD4"/>
    <w:rsid w:val="00F744B4"/>
    <w:rsid w:val="0B426B1E"/>
    <w:rsid w:val="2FCC04A2"/>
    <w:rsid w:val="71665254"/>
    <w:rsid w:val="7849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firstLine="562" w:firstLineChars="200"/>
      <w:outlineLvl w:val="0"/>
    </w:pPr>
    <w:rPr>
      <w:rFonts w:ascii="黑体" w:eastAsia="黑体"/>
      <w:b/>
    </w:rPr>
  </w:style>
  <w:style w:type="paragraph" w:styleId="3">
    <w:name w:val="heading 2"/>
    <w:basedOn w:val="1"/>
    <w:next w:val="1"/>
    <w:qFormat/>
    <w:uiPriority w:val="0"/>
    <w:pPr>
      <w:ind w:firstLine="562" w:firstLineChars="200"/>
      <w:outlineLvl w:val="1"/>
    </w:pPr>
    <w:rPr>
      <w:rFonts w:ascii="楷体_GB2312" w:eastAsia="楷体_GB2312"/>
      <w:b/>
    </w:rPr>
  </w:style>
  <w:style w:type="paragraph" w:styleId="4">
    <w:name w:val="heading 3"/>
    <w:basedOn w:val="1"/>
    <w:next w:val="1"/>
    <w:qFormat/>
    <w:uiPriority w:val="0"/>
    <w:pPr>
      <w:ind w:firstLine="560" w:firstLineChars="200"/>
      <w:outlineLvl w:val="2"/>
    </w:pPr>
    <w:rPr>
      <w:rFonts w:ascii="隶书" w:eastAsia="隶书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customStyle="1" w:styleId="12">
    <w:name w:val="余东燚"/>
    <w:basedOn w:val="1"/>
    <w:qFormat/>
    <w:uiPriority w:val="0"/>
    <w:pPr>
      <w:spacing w:afterLines="100"/>
      <w:jc w:val="center"/>
    </w:pPr>
    <w:rPr>
      <w:rFonts w:ascii="黑体" w:eastAsia="黑体"/>
      <w:b/>
      <w:sz w:val="36"/>
      <w:szCs w:val="44"/>
    </w:rPr>
  </w:style>
  <w:style w:type="paragraph" w:customStyle="1" w:styleId="13">
    <w:name w:val="文章标题"/>
    <w:basedOn w:val="1"/>
    <w:qFormat/>
    <w:uiPriority w:val="0"/>
    <w:pPr>
      <w:spacing w:beforeLines="100" w:afterLines="100"/>
      <w:jc w:val="center"/>
    </w:pPr>
    <w:rPr>
      <w:rFonts w:ascii="黑体" w:eastAsia="黑体"/>
      <w:b/>
      <w:sz w:val="36"/>
      <w:szCs w:val="44"/>
    </w:rPr>
  </w:style>
  <w:style w:type="paragraph" w:customStyle="1" w:styleId="14">
    <w:name w:val="文章信息"/>
    <w:basedOn w:val="13"/>
    <w:uiPriority w:val="0"/>
    <w:pPr>
      <w:spacing w:after="312"/>
    </w:pPr>
    <w:rPr>
      <w:rFonts w:ascii="楷体_GB2312" w:eastAsia="楷体_GB2312"/>
      <w:b w:val="0"/>
      <w:sz w:val="28"/>
      <w:szCs w:val="28"/>
    </w:rPr>
  </w:style>
  <w:style w:type="paragraph" w:customStyle="1" w:styleId="15">
    <w:name w:val="段首标题行"/>
    <w:basedOn w:val="1"/>
    <w:uiPriority w:val="0"/>
    <w:pPr>
      <w:ind w:firstLine="562" w:firstLineChars="200"/>
    </w:pPr>
    <w:rPr>
      <w:rFonts w:ascii="黑体" w:eastAsia="黑体" w:cs="宋体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3</Pages>
  <Words>212</Words>
  <Characters>1212</Characters>
  <Lines>10</Lines>
  <Paragraphs>2</Paragraphs>
  <TotalTime>59</TotalTime>
  <ScaleCrop>false</ScaleCrop>
  <LinksUpToDate>false</LinksUpToDate>
  <CharactersWithSpaces>1422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2022-02-21T10:06:00Z</dcterms:created>
  <dc:creator>User</dc:creator>
  <cp:lastModifiedBy>民工</cp:lastModifiedBy>
  <cp:lastPrinted>2021-01-04T08:57:00Z</cp:lastPrinted>
  <dcterms:modified xsi:type="dcterms:W3CDTF">2022-02-22T03:48:53Z</dcterms:modified>
  <dc:title>贵港市本级预算2014年绩效目标申报文字说明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77D1C0C2856C47E39080979E2813CBC7</vt:lpwstr>
  </property>
</Properties>
</file>